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固定资产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清查操作指南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/>
        <w:jc w:val="center"/>
        <w:textAlignment w:val="auto"/>
        <w:rPr>
          <w:szCs w:val="21"/>
        </w:rPr>
      </w:pP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资产管理员登录固定资产管理系统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点击菜单栏“资产清查”，选择所在单位，显示本单位符合清查范围的资产列表：</w:t>
      </w:r>
    </w:p>
    <w:p>
      <w:pPr>
        <w:pStyle w:val="7"/>
        <w:ind w:left="432" w:firstLine="0" w:firstLineChars="0"/>
        <w:rPr>
          <w:sz w:val="28"/>
          <w:szCs w:val="28"/>
        </w:rPr>
      </w:pPr>
      <w:r>
        <w:drawing>
          <wp:inline distT="0" distB="0" distL="0" distR="0">
            <wp:extent cx="1580515" cy="231394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32" w:firstLine="0" w:firstLineChars="0"/>
        <w:rPr>
          <w:sz w:val="28"/>
          <w:szCs w:val="28"/>
        </w:rPr>
      </w:pPr>
      <w:r>
        <w:drawing>
          <wp:inline distT="0" distB="0" distL="0" distR="0">
            <wp:extent cx="4733290" cy="24282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334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32" w:firstLine="0" w:firstLineChars="0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清查范围内的资产列表：</w:t>
      </w:r>
    </w:p>
    <w:p>
      <w:pPr>
        <w:pStyle w:val="7"/>
        <w:ind w:left="432" w:firstLine="0" w:firstLineChars="0"/>
      </w:pPr>
      <w:r>
        <w:drawing>
          <wp:inline distT="0" distB="0" distL="0" distR="0">
            <wp:extent cx="5274310" cy="11576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资产列表窗口的第一列数据即清查状态共有四种状态：空白为尚未清查；【√】为已清查正常，帐、物相符；【亏】为盘亏，有帐无物；【盈】为盘盈，有物无帐。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开始清查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（一）首先根据资产列表完成实物资产的盘点，然后在资产列表第一列“状态”中选择与盘点结果一致的状态。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如果多项资产状态相同，可以进行批量赋值操作：先勾选设备，再点击“批量赋值”。</w:t>
      </w:r>
    </w:p>
    <w:p>
      <w:pPr>
        <w:pStyle w:val="7"/>
        <w:ind w:left="432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62500" cy="1800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系统默认单页显示20条，如资产较多，可以更改显示数量，直接对“20”进行修改。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（二）选择“清查现状”，与第一列状态对应，正常情况下一般选择“在用”。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可以批量赋值。</w:t>
      </w:r>
    </w:p>
    <w:p>
      <w:pPr>
        <w:pStyle w:val="7"/>
        <w:ind w:left="432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102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（三）选择“盘亏原因”，与第一列状态对应。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（四）对于已走处置流程、报废设备已回收或尚未回收、在资产查询中显示资产状态“正在处置”的资产，在第一列状态中打√，在清查现状中选“不能使用”。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20" w:firstLineChars="200"/>
        <w:jc w:val="both"/>
        <w:textAlignment w:val="auto"/>
        <w:rPr>
          <w:highlight w:val="yellow"/>
        </w:rPr>
      </w:pPr>
      <w:r>
        <w:br w:type="textWrapping"/>
      </w:r>
      <w:r>
        <w:drawing>
          <wp:inline distT="0" distB="0" distL="0" distR="0">
            <wp:extent cx="5281930" cy="887095"/>
            <wp:effectExtent l="0" t="0" r="0" b="8255"/>
            <wp:docPr id="1" name="图片 1" descr="C:\Users\WuGuang\AppData\Roaming\Tencent\Users\2624370272\QQ\WinTemp\RichOle\9${YHBF45FPNB[6A}$R]EX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uGuang\AppData\Roaming\Tencent\Users\2624370272\QQ\WinTemp\RichOle\9${YHBF45FPNB[6A}$R]EX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2234" cy="8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0" distR="0">
            <wp:extent cx="5247005" cy="1027430"/>
            <wp:effectExtent l="0" t="0" r="0" b="1270"/>
            <wp:docPr id="2" name="图片 2" descr="C:\Users\WuGuang\AppData\Roaming\Tencent\Users\2624370272\QQ\WinTemp\RichOle\%TTJOMF9C%)CPRMBQ]9OL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uGuang\AppData\Roaming\Tencent\Users\2624370272\QQ\WinTemp\RichOle\%TTJOMF9C%)CPRMBQ]9OL4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58" cy="10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highlight w:val="yellow"/>
        </w:rPr>
        <w:drawing>
          <wp:inline distT="0" distB="0" distL="0" distR="0">
            <wp:extent cx="5163185" cy="1347470"/>
            <wp:effectExtent l="0" t="0" r="0" b="5080"/>
            <wp:docPr id="4" name="图片 4" descr="C:\Users\WuGuang\AppData\Roaming\Tencent\Users\2624370272\QQ\WinTemp\RichOle\D2QR8T7DE}HKCO9IKS(HV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uGuang\AppData\Roaming\Tencent\Users\2624370272\QQ\WinTemp\RichOle\D2QR8T7DE}HKCO9IKS(HV$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525" cy="13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（五）注意：修改后在转到下一页前请及时保存。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、打印资产清查表格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在系统资产清查结束后，打印二张清查表格，各1份：包括盘亏资产明细表、现状不符资产明细表等。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1．“盘亏资产明细表”的打印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（1）点击菜单栏“资产清查”-“资产清查明细表”-“盘亏资产明细表”—“确定”。</w:t>
      </w:r>
    </w:p>
    <w:p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drawing>
          <wp:inline distT="0" distB="0" distL="0" distR="0">
            <wp:extent cx="4924425" cy="19335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（2）点击“导出”按钮，导出表格，选择PDF文件格式，确定。</w:t>
      </w:r>
    </w:p>
    <w:p>
      <w:pPr>
        <w:jc w:val="both"/>
        <w:rPr>
          <w:sz w:val="28"/>
          <w:szCs w:val="28"/>
        </w:rPr>
      </w:pPr>
      <w:r>
        <w:drawing>
          <wp:inline distT="0" distB="0" distL="0" distR="0">
            <wp:extent cx="5274310" cy="32924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（3）点击“下载”按钮，下载表格。</w:t>
      </w:r>
    </w:p>
    <w:p>
      <w:pPr>
        <w:rPr>
          <w:b/>
          <w:sz w:val="28"/>
          <w:szCs w:val="28"/>
        </w:rPr>
      </w:pPr>
      <w:r>
        <w:drawing>
          <wp:inline distT="0" distB="0" distL="0" distR="0">
            <wp:extent cx="5274310" cy="14814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2．“现状不符资产明细表”的打印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（1）点击菜单栏“资产清查”-“资产清查明细表”-“现状不符资产明细表”—“确定”。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（2）点击“导出”按钮，导出表格，选择“MS Excel 97-2000”文件格式，确定。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330644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（3）导出“现状不符资产明细表”后，打印前需要补充完成的几点工作。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A、在“现状不符资产明细表”的最右边增加一“备注”列，用于注明现状不符原因。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B、若表中“现状”为“转入”且“清查现状”为“在用”的，各单位可以不用理会（即不用说明原因）。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、若表中“现状”为“待报废”且“清查现状”为“在用”的，请到“资产管理”-“资产变动”-“项目变动”中，把“待报废”更改成“在用”。更改后，次年在统计“现状不符资产明细表”时便不会有此类仪器设备出现了。</w:t>
      </w:r>
    </w:p>
    <w:p>
      <w:pPr>
        <w:rPr>
          <w:b/>
          <w:sz w:val="28"/>
          <w:szCs w:val="28"/>
        </w:rPr>
      </w:pPr>
      <w:r>
        <w:drawing>
          <wp:inline distT="0" distB="0" distL="0" distR="0">
            <wp:extent cx="5274310" cy="2284095"/>
            <wp:effectExtent l="0" t="0" r="254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附：1.固定资产管理卡片打印方法：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查找验收单：查询——验收单信息查询——在验收单列表中勾选验收单——点击“打印卡片”（使用A4纸打印）；也可以从资产信息查询——打印预览中进行资产管理卡片的打印。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6510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iCs/>
          <w:sz w:val="32"/>
          <w:szCs w:val="32"/>
        </w:rPr>
      </w:pPr>
      <w:bookmarkStart w:id="0" w:name="_GoBack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iCs/>
          <w:sz w:val="32"/>
          <w:szCs w:val="32"/>
        </w:rPr>
        <w:t>固定资产管理卡：</w:t>
      </w:r>
    </w:p>
    <w:bookmarkEnd w:id="0"/>
    <w:p>
      <w:pPr>
        <w:pStyle w:val="7"/>
        <w:ind w:left="360" w:firstLine="0" w:firstLineChars="0"/>
        <w:rPr>
          <w:sz w:val="28"/>
          <w:szCs w:val="28"/>
        </w:rPr>
      </w:pPr>
      <w:r>
        <w:drawing>
          <wp:inline distT="0" distB="0" distL="0" distR="0">
            <wp:extent cx="5274310" cy="2470150"/>
            <wp:effectExtent l="0" t="0" r="254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2.固定资产标签示例：</w:t>
      </w:r>
    </w:p>
    <w:p>
      <w:pPr>
        <w:pStyle w:val="7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83510" cy="201295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61393" cy="207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E8"/>
    <w:rsid w:val="00036E5A"/>
    <w:rsid w:val="000464CE"/>
    <w:rsid w:val="00076657"/>
    <w:rsid w:val="00086CDF"/>
    <w:rsid w:val="000B0EFA"/>
    <w:rsid w:val="000D6A36"/>
    <w:rsid w:val="00114375"/>
    <w:rsid w:val="00124A47"/>
    <w:rsid w:val="00126127"/>
    <w:rsid w:val="00136CDB"/>
    <w:rsid w:val="001429A3"/>
    <w:rsid w:val="0017218F"/>
    <w:rsid w:val="0019061B"/>
    <w:rsid w:val="00211232"/>
    <w:rsid w:val="00213B0B"/>
    <w:rsid w:val="002F3F38"/>
    <w:rsid w:val="0030147B"/>
    <w:rsid w:val="0031726C"/>
    <w:rsid w:val="00334108"/>
    <w:rsid w:val="003837DF"/>
    <w:rsid w:val="003866BF"/>
    <w:rsid w:val="00386985"/>
    <w:rsid w:val="003936E3"/>
    <w:rsid w:val="00394907"/>
    <w:rsid w:val="003D2B90"/>
    <w:rsid w:val="00432D3F"/>
    <w:rsid w:val="00436ED8"/>
    <w:rsid w:val="00450839"/>
    <w:rsid w:val="00473B07"/>
    <w:rsid w:val="004A2ACA"/>
    <w:rsid w:val="004A5884"/>
    <w:rsid w:val="004B1661"/>
    <w:rsid w:val="004E2F95"/>
    <w:rsid w:val="00544273"/>
    <w:rsid w:val="00567E8C"/>
    <w:rsid w:val="00585881"/>
    <w:rsid w:val="005F708F"/>
    <w:rsid w:val="00646330"/>
    <w:rsid w:val="006B0D68"/>
    <w:rsid w:val="0074637D"/>
    <w:rsid w:val="00817B9F"/>
    <w:rsid w:val="00822A71"/>
    <w:rsid w:val="00851BD2"/>
    <w:rsid w:val="0086026C"/>
    <w:rsid w:val="0086760E"/>
    <w:rsid w:val="0088470F"/>
    <w:rsid w:val="008A1390"/>
    <w:rsid w:val="008B5AE5"/>
    <w:rsid w:val="008C7DFC"/>
    <w:rsid w:val="00904A02"/>
    <w:rsid w:val="009115AB"/>
    <w:rsid w:val="00921DFE"/>
    <w:rsid w:val="00945DD5"/>
    <w:rsid w:val="009536CB"/>
    <w:rsid w:val="009739DC"/>
    <w:rsid w:val="00A112C9"/>
    <w:rsid w:val="00A22C12"/>
    <w:rsid w:val="00A25CE9"/>
    <w:rsid w:val="00A44470"/>
    <w:rsid w:val="00A61D38"/>
    <w:rsid w:val="00A71C7A"/>
    <w:rsid w:val="00AB0227"/>
    <w:rsid w:val="00AE3E8F"/>
    <w:rsid w:val="00B969CB"/>
    <w:rsid w:val="00BA14C1"/>
    <w:rsid w:val="00BA4E76"/>
    <w:rsid w:val="00C16162"/>
    <w:rsid w:val="00C9789D"/>
    <w:rsid w:val="00CA0161"/>
    <w:rsid w:val="00CB1FB7"/>
    <w:rsid w:val="00CB7373"/>
    <w:rsid w:val="00D30C4F"/>
    <w:rsid w:val="00D51EA4"/>
    <w:rsid w:val="00D56E06"/>
    <w:rsid w:val="00D63EBB"/>
    <w:rsid w:val="00D86BFB"/>
    <w:rsid w:val="00E03F0F"/>
    <w:rsid w:val="00E2647E"/>
    <w:rsid w:val="00E52CE8"/>
    <w:rsid w:val="00E6499D"/>
    <w:rsid w:val="00E65721"/>
    <w:rsid w:val="00E66A8D"/>
    <w:rsid w:val="00E94AC5"/>
    <w:rsid w:val="00EA79F7"/>
    <w:rsid w:val="00ED1A6C"/>
    <w:rsid w:val="00EE4632"/>
    <w:rsid w:val="00EF5228"/>
    <w:rsid w:val="00F66D4D"/>
    <w:rsid w:val="00F85AF5"/>
    <w:rsid w:val="00FC034A"/>
    <w:rsid w:val="00FC13EB"/>
    <w:rsid w:val="00FE460D"/>
    <w:rsid w:val="162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</Words>
  <Characters>931</Characters>
  <Lines>7</Lines>
  <Paragraphs>2</Paragraphs>
  <TotalTime>1175</TotalTime>
  <ScaleCrop>false</ScaleCrop>
  <LinksUpToDate>false</LinksUpToDate>
  <CharactersWithSpaces>1092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2018-10-20T12:46:00Z</dcterms:created>
  <dc:creator>吴光</dc:creator>
  <cp:lastModifiedBy>inter1908</cp:lastModifiedBy>
  <dcterms:modified xsi:type="dcterms:W3CDTF">2020-10-06T07:37:16Z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